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CCCA1" w14:textId="77A7A8B1" w:rsidR="002D45A0" w:rsidRDefault="00B474AC">
      <w:pPr>
        <w:pStyle w:val="BodyText"/>
        <w:ind w:left="3162"/>
        <w:rPr>
          <w:rFonts w:ascii="Times New Roman"/>
          <w:sz w:val="20"/>
        </w:rPr>
      </w:pPr>
      <w:r>
        <w:rPr>
          <w:rFonts w:ascii="Times New Roman"/>
          <w:noProof/>
          <w:sz w:val="20"/>
        </w:rPr>
        <w:drawing>
          <wp:anchor distT="0" distB="0" distL="114300" distR="114300" simplePos="0" relativeHeight="251660288" behindDoc="1" locked="0" layoutInCell="1" allowOverlap="1" wp14:anchorId="75FF95B1" wp14:editId="3459AF69">
            <wp:simplePos x="0" y="0"/>
            <wp:positionH relativeFrom="margin">
              <wp:posOffset>1009650</wp:posOffset>
            </wp:positionH>
            <wp:positionV relativeFrom="margin">
              <wp:posOffset>19050</wp:posOffset>
            </wp:positionV>
            <wp:extent cx="4337050" cy="1271270"/>
            <wp:effectExtent l="0" t="0" r="0" b="5080"/>
            <wp:wrapTight wrapText="bothSides">
              <wp:wrapPolygon edited="0">
                <wp:start x="3890" y="0"/>
                <wp:lineTo x="3131" y="971"/>
                <wp:lineTo x="1708" y="4208"/>
                <wp:lineTo x="1423" y="8416"/>
                <wp:lineTo x="1328" y="11329"/>
                <wp:lineTo x="1708" y="15860"/>
                <wp:lineTo x="1708" y="16831"/>
                <wp:lineTo x="3321" y="20715"/>
                <wp:lineTo x="3700" y="21363"/>
                <wp:lineTo x="5313" y="21363"/>
                <wp:lineTo x="18690" y="16507"/>
                <wp:lineTo x="18880" y="12623"/>
                <wp:lineTo x="17457" y="11005"/>
                <wp:lineTo x="20588" y="10034"/>
                <wp:lineTo x="20398" y="5826"/>
                <wp:lineTo x="8349" y="5502"/>
                <wp:lineTo x="8539" y="1942"/>
                <wp:lineTo x="7970" y="971"/>
                <wp:lineTo x="5123" y="0"/>
                <wp:lineTo x="38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t="14136" b="12041"/>
                    <a:stretch>
                      <a:fillRect/>
                    </a:stretch>
                  </pic:blipFill>
                  <pic:spPr bwMode="auto">
                    <a:xfrm>
                      <a:off x="0" y="0"/>
                      <a:ext cx="4337050" cy="1271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432730" w14:textId="77777777" w:rsidR="002D45A0" w:rsidRDefault="002D45A0">
      <w:pPr>
        <w:pStyle w:val="BodyText"/>
        <w:rPr>
          <w:rFonts w:ascii="Times New Roman"/>
          <w:sz w:val="20"/>
        </w:rPr>
      </w:pPr>
    </w:p>
    <w:p w14:paraId="3E432917" w14:textId="77777777" w:rsidR="002D45A0" w:rsidRDefault="002D45A0">
      <w:pPr>
        <w:pStyle w:val="BodyText"/>
        <w:rPr>
          <w:rFonts w:ascii="Times New Roman"/>
          <w:sz w:val="20"/>
        </w:rPr>
      </w:pPr>
    </w:p>
    <w:p w14:paraId="318C2A3A" w14:textId="77777777" w:rsidR="002D45A0" w:rsidRDefault="002D45A0">
      <w:pPr>
        <w:pStyle w:val="BodyText"/>
        <w:rPr>
          <w:rFonts w:ascii="Times New Roman"/>
          <w:sz w:val="20"/>
        </w:rPr>
      </w:pPr>
    </w:p>
    <w:p w14:paraId="693CC8DC" w14:textId="77777777" w:rsidR="002D45A0" w:rsidRDefault="002D45A0">
      <w:pPr>
        <w:pStyle w:val="BodyText"/>
        <w:spacing w:before="8"/>
        <w:rPr>
          <w:rFonts w:ascii="Times New Roman"/>
          <w:sz w:val="17"/>
        </w:rPr>
      </w:pPr>
    </w:p>
    <w:p w14:paraId="5BF29F4C" w14:textId="77777777" w:rsidR="00261697" w:rsidRDefault="00261697">
      <w:pPr>
        <w:pStyle w:val="Heading1"/>
        <w:spacing w:before="56"/>
        <w:ind w:right="2893"/>
      </w:pPr>
    </w:p>
    <w:p w14:paraId="7C8E8A61" w14:textId="77777777" w:rsidR="00D34107" w:rsidRDefault="00D34107">
      <w:pPr>
        <w:pStyle w:val="Heading1"/>
        <w:spacing w:before="56"/>
        <w:ind w:right="2893"/>
      </w:pPr>
    </w:p>
    <w:p w14:paraId="05D61EB9" w14:textId="195F6ABD" w:rsidR="002D45A0" w:rsidRDefault="00513B35">
      <w:pPr>
        <w:pStyle w:val="Heading1"/>
        <w:spacing w:before="56"/>
        <w:ind w:right="2893"/>
      </w:pPr>
      <w:r>
        <w:t>A COMMON ACCORD</w:t>
      </w:r>
    </w:p>
    <w:p w14:paraId="02655935" w14:textId="77777777" w:rsidR="002D45A0" w:rsidRDefault="002D45A0">
      <w:pPr>
        <w:spacing w:before="8"/>
        <w:rPr>
          <w:b/>
          <w:sz w:val="19"/>
        </w:rPr>
      </w:pPr>
    </w:p>
    <w:p w14:paraId="051BEA00" w14:textId="77777777" w:rsidR="002D45A0" w:rsidRDefault="00513B35">
      <w:pPr>
        <w:spacing w:line="453" w:lineRule="auto"/>
        <w:ind w:left="2913" w:right="2894"/>
        <w:jc w:val="center"/>
        <w:rPr>
          <w:b/>
        </w:rPr>
      </w:pPr>
      <w:r>
        <w:rPr>
          <w:b/>
        </w:rPr>
        <w:t>IN THE WORKING OF SUPPLY CHAINS IN THE POST-16 LEARNING AND SKILLS SECTOR</w:t>
      </w:r>
    </w:p>
    <w:p w14:paraId="1AECA7C5" w14:textId="77777777" w:rsidR="002D45A0" w:rsidRDefault="002D45A0">
      <w:pPr>
        <w:rPr>
          <w:b/>
        </w:rPr>
      </w:pPr>
    </w:p>
    <w:p w14:paraId="03ECE9A8" w14:textId="77777777" w:rsidR="002D45A0" w:rsidRDefault="002D45A0">
      <w:pPr>
        <w:spacing w:before="11"/>
        <w:rPr>
          <w:b/>
          <w:sz w:val="19"/>
        </w:rPr>
      </w:pPr>
    </w:p>
    <w:p w14:paraId="32CC85FF" w14:textId="77777777" w:rsidR="002D45A0" w:rsidRDefault="00513B35">
      <w:pPr>
        <w:spacing w:before="1" w:line="276" w:lineRule="auto"/>
        <w:ind w:left="287" w:right="267"/>
        <w:jc w:val="center"/>
        <w:rPr>
          <w:i/>
        </w:rPr>
      </w:pPr>
      <w:r>
        <w:rPr>
          <w:i/>
        </w:rPr>
        <w:t xml:space="preserve">The scope of the Common Accord is </w:t>
      </w:r>
      <w:proofErr w:type="gramStart"/>
      <w:r>
        <w:rPr>
          <w:i/>
        </w:rPr>
        <w:t>supply</w:t>
      </w:r>
      <w:proofErr w:type="gramEnd"/>
      <w:r>
        <w:rPr>
          <w:i/>
        </w:rPr>
        <w:t xml:space="preserve"> chain activity using funds supplied by the Education and Skills Funding Agency or any successor organisations.</w:t>
      </w:r>
    </w:p>
    <w:p w14:paraId="6B3D4D0E" w14:textId="77777777" w:rsidR="002D45A0" w:rsidRDefault="002D45A0">
      <w:pPr>
        <w:rPr>
          <w:i/>
        </w:rPr>
      </w:pPr>
    </w:p>
    <w:p w14:paraId="29C20A3C" w14:textId="77777777" w:rsidR="002D45A0" w:rsidRDefault="002D45A0">
      <w:pPr>
        <w:rPr>
          <w:i/>
        </w:rPr>
      </w:pPr>
    </w:p>
    <w:p w14:paraId="140F707F" w14:textId="77777777" w:rsidR="002D45A0" w:rsidRDefault="00513B35">
      <w:pPr>
        <w:pStyle w:val="Heading1"/>
        <w:spacing w:before="172" w:line="453" w:lineRule="auto"/>
        <w:ind w:left="2493" w:right="2473"/>
      </w:pPr>
      <w:r>
        <w:t>Signatories to this document commit to the following “Overarching Principle”:</w:t>
      </w:r>
    </w:p>
    <w:p w14:paraId="2F5B83AA" w14:textId="77777777" w:rsidR="002D45A0" w:rsidRDefault="002D45A0">
      <w:pPr>
        <w:rPr>
          <w:b/>
        </w:rPr>
      </w:pPr>
    </w:p>
    <w:p w14:paraId="64D6EE31" w14:textId="77777777" w:rsidR="002D45A0" w:rsidRDefault="002D45A0">
      <w:pPr>
        <w:spacing w:before="11"/>
        <w:rPr>
          <w:b/>
          <w:sz w:val="19"/>
        </w:rPr>
      </w:pPr>
    </w:p>
    <w:p w14:paraId="247CBB0C" w14:textId="77777777" w:rsidR="002D45A0" w:rsidRDefault="00513B35">
      <w:pPr>
        <w:ind w:left="586"/>
        <w:rPr>
          <w:b/>
        </w:rPr>
      </w:pPr>
      <w:r>
        <w:rPr>
          <w:b/>
        </w:rPr>
        <w:t>Supply chains seek to optimise the impact and effectiveness of service delivery to the end user.</w:t>
      </w:r>
    </w:p>
    <w:p w14:paraId="60208EC1" w14:textId="77777777" w:rsidR="002D45A0" w:rsidRDefault="002D45A0">
      <w:pPr>
        <w:rPr>
          <w:b/>
        </w:rPr>
      </w:pPr>
    </w:p>
    <w:p w14:paraId="5C116252" w14:textId="77777777" w:rsidR="002D45A0" w:rsidRDefault="002D45A0">
      <w:pPr>
        <w:rPr>
          <w:b/>
        </w:rPr>
      </w:pPr>
    </w:p>
    <w:p w14:paraId="21F5C652" w14:textId="77777777" w:rsidR="002D45A0" w:rsidRDefault="002D45A0">
      <w:pPr>
        <w:spacing w:before="5"/>
        <w:rPr>
          <w:b/>
          <w:sz w:val="17"/>
        </w:rPr>
      </w:pPr>
    </w:p>
    <w:p w14:paraId="6CC60C28" w14:textId="77777777" w:rsidR="00261697" w:rsidRDefault="00513B35" w:rsidP="00261697">
      <w:pPr>
        <w:spacing w:line="453" w:lineRule="auto"/>
        <w:ind w:left="1867" w:right="1847"/>
        <w:jc w:val="center"/>
        <w:rPr>
          <w:b/>
        </w:rPr>
      </w:pPr>
      <w:r>
        <w:rPr>
          <w:b/>
        </w:rPr>
        <w:t>This organisation commits itself to the clauses and principles of the Common Accord</w:t>
      </w:r>
    </w:p>
    <w:p w14:paraId="04CD489B" w14:textId="77777777" w:rsidR="00261697" w:rsidRDefault="00261697" w:rsidP="00261697">
      <w:pPr>
        <w:spacing w:line="453" w:lineRule="auto"/>
        <w:ind w:left="1867" w:right="1847"/>
        <w:jc w:val="center"/>
        <w:rPr>
          <w:b/>
        </w:rPr>
      </w:pPr>
    </w:p>
    <w:p w14:paraId="52670F57" w14:textId="77777777" w:rsidR="00261697" w:rsidRDefault="00513B35" w:rsidP="00261697">
      <w:pPr>
        <w:spacing w:line="453" w:lineRule="auto"/>
        <w:ind w:left="1867" w:right="1847"/>
        <w:rPr>
          <w:b/>
        </w:rPr>
      </w:pPr>
      <w:r>
        <w:rPr>
          <w:i/>
        </w:rPr>
        <w:t xml:space="preserve">Name: </w:t>
      </w:r>
      <w:r w:rsidR="00261697">
        <w:rPr>
          <w:i/>
        </w:rPr>
        <w:t>Jacqueline Wilson</w:t>
      </w:r>
    </w:p>
    <w:p w14:paraId="56C45CD0" w14:textId="77777777" w:rsidR="002D45A0" w:rsidRPr="00261697" w:rsidRDefault="00513B35" w:rsidP="00261697">
      <w:pPr>
        <w:spacing w:line="453" w:lineRule="auto"/>
        <w:ind w:left="1867" w:right="1847"/>
        <w:rPr>
          <w:b/>
        </w:rPr>
      </w:pPr>
      <w:r>
        <w:rPr>
          <w:i/>
          <w:spacing w:val="-1"/>
        </w:rPr>
        <w:t>Signature:</w:t>
      </w:r>
    </w:p>
    <w:p w14:paraId="46297A18" w14:textId="77777777" w:rsidR="00261697" w:rsidRDefault="00261697" w:rsidP="00261697">
      <w:pPr>
        <w:spacing w:before="568"/>
        <w:ind w:left="2913" w:right="2893"/>
        <w:jc w:val="center"/>
        <w:rPr>
          <w:i/>
        </w:rPr>
      </w:pPr>
      <w:r>
        <w:rPr>
          <w:i/>
          <w:noProof/>
          <w:lang w:bidi="ar-SA"/>
        </w:rPr>
        <w:drawing>
          <wp:anchor distT="0" distB="0" distL="114300" distR="114300" simplePos="0" relativeHeight="251659264" behindDoc="0" locked="0" layoutInCell="1" allowOverlap="1" wp14:anchorId="2E79CC83" wp14:editId="1C02D95E">
            <wp:simplePos x="0" y="0"/>
            <wp:positionH relativeFrom="column">
              <wp:posOffset>1238250</wp:posOffset>
            </wp:positionH>
            <wp:positionV relativeFrom="paragraph">
              <wp:posOffset>3175</wp:posOffset>
            </wp:positionV>
            <wp:extent cx="749300" cy="5194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ieWilson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9300" cy="519430"/>
                    </a:xfrm>
                    <a:prstGeom prst="rect">
                      <a:avLst/>
                    </a:prstGeom>
                  </pic:spPr>
                </pic:pic>
              </a:graphicData>
            </a:graphic>
            <wp14:sizeRelH relativeFrom="page">
              <wp14:pctWidth>0</wp14:pctWidth>
            </wp14:sizeRelH>
            <wp14:sizeRelV relativeFrom="page">
              <wp14:pctHeight>0</wp14:pctHeight>
            </wp14:sizeRelV>
          </wp:anchor>
        </w:drawing>
      </w:r>
    </w:p>
    <w:p w14:paraId="403DBF17" w14:textId="77777777" w:rsidR="002D45A0" w:rsidRDefault="00261697" w:rsidP="00261697">
      <w:pPr>
        <w:spacing w:before="568"/>
        <w:ind w:left="1147" w:right="2893" w:firstLine="720"/>
        <w:rPr>
          <w:i/>
        </w:rPr>
      </w:pPr>
      <w:r>
        <w:rPr>
          <w:i/>
        </w:rPr>
        <w:t>Position: Principal</w:t>
      </w:r>
      <w:r w:rsidR="00513B35">
        <w:rPr>
          <w:i/>
        </w:rPr>
        <w:t>, Adult and Community Learning</w:t>
      </w:r>
    </w:p>
    <w:p w14:paraId="1BD89D10" w14:textId="77777777" w:rsidR="002D45A0" w:rsidRDefault="002D45A0">
      <w:pPr>
        <w:rPr>
          <w:i/>
        </w:rPr>
      </w:pPr>
    </w:p>
    <w:p w14:paraId="600E4222" w14:textId="77777777" w:rsidR="002D45A0" w:rsidRDefault="002D45A0">
      <w:pPr>
        <w:spacing w:before="4"/>
        <w:rPr>
          <w:i/>
          <w:sz w:val="17"/>
        </w:rPr>
      </w:pPr>
    </w:p>
    <w:p w14:paraId="1E0BEB98" w14:textId="3B73ADDB" w:rsidR="002D45A0" w:rsidRDefault="00513B35" w:rsidP="00261697">
      <w:pPr>
        <w:ind w:left="1434" w:right="267" w:firstLine="433"/>
        <w:rPr>
          <w:i/>
        </w:rPr>
      </w:pPr>
      <w:r>
        <w:rPr>
          <w:i/>
        </w:rPr>
        <w:t xml:space="preserve">Organisation: </w:t>
      </w:r>
      <w:r w:rsidR="00261697">
        <w:rPr>
          <w:i/>
        </w:rPr>
        <w:t>Buckinghamshire Council</w:t>
      </w:r>
    </w:p>
    <w:p w14:paraId="4A59E682" w14:textId="77777777" w:rsidR="002D45A0" w:rsidRDefault="002D45A0">
      <w:pPr>
        <w:rPr>
          <w:i/>
        </w:rPr>
      </w:pPr>
    </w:p>
    <w:p w14:paraId="75ECDD38" w14:textId="77777777" w:rsidR="002D45A0" w:rsidRDefault="002D45A0">
      <w:pPr>
        <w:spacing w:before="5"/>
        <w:rPr>
          <w:i/>
          <w:sz w:val="17"/>
        </w:rPr>
      </w:pPr>
    </w:p>
    <w:p w14:paraId="1AEF9EF0" w14:textId="46E19671" w:rsidR="002D45A0" w:rsidRDefault="00513B35" w:rsidP="42844B97">
      <w:pPr>
        <w:ind w:left="1147" w:right="2894" w:firstLine="720"/>
        <w:rPr>
          <w:i/>
          <w:iCs/>
        </w:rPr>
      </w:pPr>
      <w:r w:rsidRPr="42844B97">
        <w:rPr>
          <w:i/>
          <w:iCs/>
        </w:rPr>
        <w:t xml:space="preserve">Date:  </w:t>
      </w:r>
      <w:r w:rsidR="00B474AC" w:rsidRPr="42844B97">
        <w:rPr>
          <w:i/>
          <w:iCs/>
        </w:rPr>
        <w:t>01/08/202</w:t>
      </w:r>
      <w:r w:rsidR="4DF95BAE" w:rsidRPr="42844B97">
        <w:rPr>
          <w:i/>
          <w:iCs/>
        </w:rPr>
        <w:t>5</w:t>
      </w:r>
    </w:p>
    <w:p w14:paraId="75B11EBF" w14:textId="77777777" w:rsidR="002D45A0" w:rsidRDefault="002D45A0">
      <w:pPr>
        <w:jc w:val="center"/>
        <w:sectPr w:rsidR="002D45A0">
          <w:footerReference w:type="default" r:id="rId13"/>
          <w:type w:val="continuous"/>
          <w:pgSz w:w="11910" w:h="16840"/>
          <w:pgMar w:top="920" w:right="1040" w:bottom="1200" w:left="1020" w:header="720" w:footer="1000" w:gutter="0"/>
          <w:pgNumType w:start="1"/>
          <w:cols w:space="720"/>
        </w:sectPr>
      </w:pPr>
    </w:p>
    <w:p w14:paraId="26F5831E" w14:textId="77777777" w:rsidR="002D45A0" w:rsidRDefault="00513B35">
      <w:pPr>
        <w:pStyle w:val="Heading1"/>
        <w:spacing w:before="41"/>
        <w:ind w:left="112"/>
        <w:jc w:val="left"/>
      </w:pPr>
      <w:r>
        <w:lastRenderedPageBreak/>
        <w:t>Clauses and Principles of the Common Accord</w:t>
      </w:r>
    </w:p>
    <w:p w14:paraId="33B3E7F2" w14:textId="77777777" w:rsidR="002D45A0" w:rsidRDefault="002D45A0">
      <w:pPr>
        <w:spacing w:before="8"/>
        <w:rPr>
          <w:b/>
          <w:sz w:val="19"/>
        </w:rPr>
      </w:pPr>
    </w:p>
    <w:p w14:paraId="17D604C9" w14:textId="43804010" w:rsidR="002D45A0" w:rsidRDefault="00513B35">
      <w:pPr>
        <w:pStyle w:val="ListParagraph"/>
        <w:numPr>
          <w:ilvl w:val="0"/>
          <w:numId w:val="1"/>
        </w:numPr>
        <w:tabs>
          <w:tab w:val="left" w:pos="833"/>
          <w:tab w:val="left" w:pos="834"/>
        </w:tabs>
        <w:spacing w:line="276" w:lineRule="auto"/>
        <w:ind w:right="118"/>
        <w:jc w:val="left"/>
      </w:pPr>
      <w:r>
        <w:t xml:space="preserve">The scope of the Common Accord is </w:t>
      </w:r>
      <w:proofErr w:type="gramStart"/>
      <w:r>
        <w:t>supply</w:t>
      </w:r>
      <w:proofErr w:type="gramEnd"/>
      <w:r>
        <w:t xml:space="preserve"> chain activity using funds supplied by the </w:t>
      </w:r>
      <w:r w:rsidR="055CDE15">
        <w:t xml:space="preserve">Department for Education </w:t>
      </w:r>
      <w:r>
        <w:t>or any successor</w:t>
      </w:r>
      <w:r>
        <w:rPr>
          <w:spacing w:val="-6"/>
        </w:rPr>
        <w:t xml:space="preserve"> </w:t>
      </w:r>
      <w:r>
        <w:t>organisations.</w:t>
      </w:r>
    </w:p>
    <w:p w14:paraId="08824CA5" w14:textId="77777777" w:rsidR="002D45A0" w:rsidRDefault="002D45A0">
      <w:pPr>
        <w:spacing w:before="4"/>
        <w:rPr>
          <w:sz w:val="25"/>
        </w:rPr>
      </w:pPr>
    </w:p>
    <w:p w14:paraId="09C2FD35" w14:textId="77777777" w:rsidR="002D45A0" w:rsidRDefault="00513B35">
      <w:pPr>
        <w:pStyle w:val="ListParagraph"/>
        <w:numPr>
          <w:ilvl w:val="0"/>
          <w:numId w:val="1"/>
        </w:numPr>
        <w:tabs>
          <w:tab w:val="left" w:pos="833"/>
          <w:tab w:val="left" w:pos="834"/>
        </w:tabs>
        <w:spacing w:line="276" w:lineRule="auto"/>
        <w:ind w:right="103" w:hanging="526"/>
        <w:jc w:val="left"/>
        <w:rPr>
          <w:b/>
          <w:i/>
        </w:rPr>
      </w:pPr>
      <w:r>
        <w:t xml:space="preserve">Signatories to the Common Accord commit to the “Overarching Principle” that: </w:t>
      </w:r>
      <w:r>
        <w:rPr>
          <w:b/>
          <w:i/>
        </w:rPr>
        <w:t>“Supply chains seek to optimise the impact and effectiveness of service delivery to the end</w:t>
      </w:r>
      <w:r>
        <w:rPr>
          <w:b/>
          <w:i/>
          <w:spacing w:val="-16"/>
        </w:rPr>
        <w:t xml:space="preserve"> </w:t>
      </w:r>
      <w:r>
        <w:rPr>
          <w:b/>
          <w:i/>
        </w:rPr>
        <w:t>user.”</w:t>
      </w:r>
    </w:p>
    <w:p w14:paraId="187894A0" w14:textId="77777777" w:rsidR="002D45A0" w:rsidRDefault="002D45A0">
      <w:pPr>
        <w:spacing w:before="3"/>
        <w:rPr>
          <w:b/>
          <w:i/>
          <w:sz w:val="25"/>
        </w:rPr>
      </w:pPr>
    </w:p>
    <w:p w14:paraId="64EA84B5" w14:textId="77777777" w:rsidR="002D45A0" w:rsidRDefault="00513B35">
      <w:pPr>
        <w:pStyle w:val="ListParagraph"/>
        <w:numPr>
          <w:ilvl w:val="0"/>
          <w:numId w:val="1"/>
        </w:numPr>
        <w:tabs>
          <w:tab w:val="left" w:pos="833"/>
          <w:tab w:val="left" w:pos="834"/>
        </w:tabs>
        <w:ind w:hanging="581"/>
        <w:jc w:val="left"/>
      </w:pPr>
      <w:r>
        <w:t>In line with the overarching principle, signatories will abide by the</w:t>
      </w:r>
      <w:r>
        <w:rPr>
          <w:spacing w:val="-12"/>
        </w:rPr>
        <w:t xml:space="preserve"> </w:t>
      </w:r>
      <w:r>
        <w:t>following:</w:t>
      </w:r>
    </w:p>
    <w:p w14:paraId="13F1F1A4" w14:textId="77777777" w:rsidR="002D45A0" w:rsidRDefault="002D45A0">
      <w:pPr>
        <w:spacing w:before="7"/>
        <w:rPr>
          <w:sz w:val="28"/>
        </w:rPr>
      </w:pPr>
    </w:p>
    <w:p w14:paraId="43CFEAE8" w14:textId="77777777" w:rsidR="002D45A0" w:rsidRDefault="00513B35">
      <w:pPr>
        <w:pStyle w:val="ListParagraph"/>
        <w:numPr>
          <w:ilvl w:val="1"/>
          <w:numId w:val="1"/>
        </w:numPr>
        <w:tabs>
          <w:tab w:val="left" w:pos="1531"/>
          <w:tab w:val="left" w:pos="1532"/>
        </w:tabs>
        <w:spacing w:line="276" w:lineRule="auto"/>
        <w:ind w:right="370" w:hanging="710"/>
        <w:jc w:val="both"/>
        <w:rPr>
          <w:i/>
        </w:rPr>
      </w:pPr>
      <w:r>
        <w:rPr>
          <w:b/>
        </w:rPr>
        <w:t xml:space="preserve">Supply chain management activities should align with the principles of best practice in the skills sector. </w:t>
      </w:r>
      <w:r>
        <w:rPr>
          <w:i/>
        </w:rPr>
        <w:t xml:space="preserve">Signatories to the Common Accord agreed to be guided by the principles given in the LSIS publication </w:t>
      </w:r>
      <w:r>
        <w:t>“</w:t>
      </w:r>
      <w:r>
        <w:rPr>
          <w:b/>
        </w:rPr>
        <w:t xml:space="preserve">Supply Chain Management – a good practice guide for the post-16 skills sector” </w:t>
      </w:r>
      <w:r>
        <w:rPr>
          <w:i/>
        </w:rPr>
        <w:t>(Nov 2012 and subsequent</w:t>
      </w:r>
      <w:r>
        <w:rPr>
          <w:i/>
          <w:spacing w:val="-9"/>
        </w:rPr>
        <w:t xml:space="preserve"> </w:t>
      </w:r>
      <w:r>
        <w:rPr>
          <w:i/>
        </w:rPr>
        <w:t>iterations)</w:t>
      </w:r>
    </w:p>
    <w:p w14:paraId="1A73A751" w14:textId="77777777" w:rsidR="002D45A0" w:rsidRDefault="002D45A0">
      <w:pPr>
        <w:spacing w:before="5"/>
        <w:rPr>
          <w:i/>
          <w:sz w:val="25"/>
        </w:rPr>
      </w:pPr>
    </w:p>
    <w:p w14:paraId="61E68A84" w14:textId="77777777" w:rsidR="002D45A0" w:rsidRDefault="00513B35">
      <w:pPr>
        <w:pStyle w:val="ListParagraph"/>
        <w:numPr>
          <w:ilvl w:val="1"/>
          <w:numId w:val="1"/>
        </w:numPr>
        <w:tabs>
          <w:tab w:val="left" w:pos="1531"/>
          <w:tab w:val="left" w:pos="1532"/>
        </w:tabs>
        <w:spacing w:before="1" w:line="276" w:lineRule="auto"/>
        <w:ind w:right="380" w:hanging="710"/>
        <w:rPr>
          <w:i/>
        </w:rPr>
      </w:pPr>
      <w:r>
        <w:rPr>
          <w:b/>
        </w:rPr>
        <w:t xml:space="preserve">Prime/lead providers in supply chains will </w:t>
      </w:r>
      <w:proofErr w:type="gramStart"/>
      <w:r>
        <w:rPr>
          <w:b/>
        </w:rPr>
        <w:t>at all times</w:t>
      </w:r>
      <w:proofErr w:type="gramEnd"/>
      <w:r>
        <w:rPr>
          <w:b/>
        </w:rPr>
        <w:t xml:space="preserve"> undertake fair and transparent procurement activities, conducting robust due diligence procedures on potential subcontractors to ensure compliance with the Common Accord at all levels. </w:t>
      </w:r>
      <w:r>
        <w:rPr>
          <w:i/>
        </w:rPr>
        <w:t>Signatories agree the importance of ensuring that procurement activities are conducted in a fair and transparent manner to ensure the highest quality of learning delivery is made available, demonstrating value for money and a positive impact on learner</w:t>
      </w:r>
      <w:r>
        <w:rPr>
          <w:i/>
          <w:spacing w:val="-11"/>
        </w:rPr>
        <w:t xml:space="preserve"> </w:t>
      </w:r>
      <w:r>
        <w:rPr>
          <w:i/>
        </w:rPr>
        <w:t>lives.</w:t>
      </w:r>
    </w:p>
    <w:p w14:paraId="645CDDB7" w14:textId="77777777" w:rsidR="002D45A0" w:rsidRDefault="002D45A0">
      <w:pPr>
        <w:spacing w:before="4"/>
        <w:rPr>
          <w:i/>
          <w:sz w:val="25"/>
        </w:rPr>
      </w:pPr>
    </w:p>
    <w:p w14:paraId="59B2A7AC" w14:textId="77777777" w:rsidR="002D45A0" w:rsidRDefault="00513B35">
      <w:pPr>
        <w:pStyle w:val="ListParagraph"/>
        <w:numPr>
          <w:ilvl w:val="1"/>
          <w:numId w:val="1"/>
        </w:numPr>
        <w:tabs>
          <w:tab w:val="left" w:pos="1531"/>
          <w:tab w:val="left" w:pos="1532"/>
        </w:tabs>
        <w:spacing w:line="276" w:lineRule="auto"/>
        <w:ind w:right="198" w:hanging="710"/>
        <w:rPr>
          <w:i/>
        </w:rPr>
      </w:pPr>
      <w:r>
        <w:rPr>
          <w:b/>
        </w:rPr>
        <w:t xml:space="preserve">Funding for learning that is retained by the lead provider must be related to the costs of the service provided. These services, and the levels of funding being retained for them, will be clearly documented and agreed by all parties. </w:t>
      </w:r>
      <w:r>
        <w:rPr>
          <w:i/>
        </w:rPr>
        <w:t>Signatories commit that the rates of such retained funding should be commercially viable for both sides, should be negotiated and agreed in a fair and transparent manner, and should relate to the actual services being provided.</w:t>
      </w:r>
    </w:p>
    <w:p w14:paraId="35D7446E" w14:textId="77777777" w:rsidR="002D45A0" w:rsidRDefault="002D45A0">
      <w:pPr>
        <w:spacing w:before="2"/>
        <w:rPr>
          <w:i/>
          <w:sz w:val="25"/>
        </w:rPr>
      </w:pPr>
    </w:p>
    <w:p w14:paraId="1E690CB9" w14:textId="77777777" w:rsidR="002D45A0" w:rsidRDefault="00513B35">
      <w:pPr>
        <w:pStyle w:val="ListParagraph"/>
        <w:numPr>
          <w:ilvl w:val="1"/>
          <w:numId w:val="1"/>
        </w:numPr>
        <w:tabs>
          <w:tab w:val="left" w:pos="1531"/>
          <w:tab w:val="left" w:pos="1532"/>
        </w:tabs>
        <w:spacing w:line="276" w:lineRule="auto"/>
        <w:ind w:right="112" w:hanging="710"/>
        <w:rPr>
          <w:i/>
        </w:rPr>
      </w:pPr>
      <w:r>
        <w:rPr>
          <w:b/>
        </w:rPr>
        <w:t xml:space="preserve">Where disputes between supply chain partners cannot be resolved through mutually agreed internal resolution procedures, signatories commit to submission of the dispute to independent outside arbitration or mediation and to abide by its findings. </w:t>
      </w:r>
      <w:r>
        <w:rPr>
          <w:i/>
        </w:rPr>
        <w:t>Signatories agreed that the achievements of supply chains are attained through adherence to both the letter and spirit of contracts or partnerships. Signatories therefore commit that all discussions, communications, negotiations and actions undertaken to build, maintain and develop supply chains will be conducted in good faith in accordance with the Overarching Principle.</w:t>
      </w:r>
    </w:p>
    <w:p w14:paraId="3F19EA1A" w14:textId="77777777" w:rsidR="002D45A0" w:rsidRDefault="002D45A0">
      <w:pPr>
        <w:spacing w:before="6"/>
        <w:rPr>
          <w:i/>
          <w:sz w:val="25"/>
        </w:rPr>
      </w:pPr>
    </w:p>
    <w:p w14:paraId="6036B991" w14:textId="77777777" w:rsidR="002D45A0" w:rsidRDefault="00513B35">
      <w:pPr>
        <w:pStyle w:val="ListParagraph"/>
        <w:numPr>
          <w:ilvl w:val="0"/>
          <w:numId w:val="1"/>
        </w:numPr>
        <w:tabs>
          <w:tab w:val="left" w:pos="833"/>
          <w:tab w:val="left" w:pos="834"/>
        </w:tabs>
        <w:spacing w:line="276" w:lineRule="auto"/>
        <w:ind w:right="299" w:hanging="596"/>
        <w:jc w:val="left"/>
      </w:pPr>
      <w:r>
        <w:t>Signatories to the Common Accord understand and accept that their commitment and adherence to it may be used as criteria or standards by other sector stakeholders, including (but not limited to) funding, representative and professional</w:t>
      </w:r>
      <w:r>
        <w:rPr>
          <w:spacing w:val="-4"/>
        </w:rPr>
        <w:t xml:space="preserve"> </w:t>
      </w:r>
      <w:r>
        <w:t>bodies.</w:t>
      </w:r>
    </w:p>
    <w:sectPr w:rsidR="002D45A0">
      <w:pgSz w:w="11910" w:h="16840"/>
      <w:pgMar w:top="1380" w:right="1040" w:bottom="1200" w:left="10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4FC77" w14:textId="77777777" w:rsidR="00A425D3" w:rsidRDefault="00513B35">
      <w:r>
        <w:separator/>
      </w:r>
    </w:p>
  </w:endnote>
  <w:endnote w:type="continuationSeparator" w:id="0">
    <w:p w14:paraId="209E9C23" w14:textId="77777777" w:rsidR="00A425D3" w:rsidRDefault="0051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D4F6" w14:textId="791AB7FD" w:rsidR="002D45A0" w:rsidRDefault="009C4CC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B860C63" wp14:editId="6C725458">
              <wp:simplePos x="0" y="0"/>
              <wp:positionH relativeFrom="page">
                <wp:posOffset>3719830</wp:posOffset>
              </wp:positionH>
              <wp:positionV relativeFrom="page">
                <wp:posOffset>9917430</wp:posOffset>
              </wp:positionV>
              <wp:extent cx="121920" cy="165735"/>
              <wp:effectExtent l="0" t="1905" r="0" b="3810"/>
              <wp:wrapNone/>
              <wp:docPr id="665937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60822" w14:textId="77777777" w:rsidR="002D45A0" w:rsidRDefault="00513B35">
                          <w:pPr>
                            <w:pStyle w:val="BodyText"/>
                            <w:spacing w:line="245" w:lineRule="exact"/>
                            <w:ind w:left="40"/>
                          </w:pPr>
                          <w:r>
                            <w:fldChar w:fldCharType="begin"/>
                          </w:r>
                          <w:r>
                            <w:instrText xml:space="preserve"> PAGE </w:instrText>
                          </w:r>
                          <w:r>
                            <w:fldChar w:fldCharType="separate"/>
                          </w:r>
                          <w:r w:rsidR="00F160E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60C63" id="_x0000_t202" coordsize="21600,21600" o:spt="202" path="m,l,21600r21600,l21600,xe">
              <v:stroke joinstyle="miter"/>
              <v:path gradientshapeok="t" o:connecttype="rect"/>
            </v:shapetype>
            <v:shape id="Text Box 1" o:spid="_x0000_s1026" type="#_x0000_t202" style="position:absolute;margin-left:292.9pt;margin-top:780.9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" filled="f" stroked="f">
              <v:textbox inset="0,0,0,0">
                <w:txbxContent>
                  <w:p w14:paraId="40960822" w14:textId="77777777" w:rsidR="002D45A0" w:rsidRDefault="00513B35">
                    <w:pPr>
                      <w:pStyle w:val="BodyText"/>
                      <w:spacing w:line="245" w:lineRule="exact"/>
                      <w:ind w:left="40"/>
                    </w:pPr>
                    <w:r>
                      <w:fldChar w:fldCharType="begin"/>
                    </w:r>
                    <w:r>
                      <w:instrText xml:space="preserve"> PAGE </w:instrText>
                    </w:r>
                    <w:r>
                      <w:fldChar w:fldCharType="separate"/>
                    </w:r>
                    <w:r w:rsidR="00F160E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6C524" w14:textId="77777777" w:rsidR="00A425D3" w:rsidRDefault="00513B35">
      <w:r>
        <w:separator/>
      </w:r>
    </w:p>
  </w:footnote>
  <w:footnote w:type="continuationSeparator" w:id="0">
    <w:p w14:paraId="6D779639" w14:textId="77777777" w:rsidR="00A425D3" w:rsidRDefault="00513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86B1A"/>
    <w:multiLevelType w:val="hybridMultilevel"/>
    <w:tmpl w:val="15F8539C"/>
    <w:lvl w:ilvl="0" w:tplc="DAD001C0">
      <w:start w:val="1"/>
      <w:numFmt w:val="upperRoman"/>
      <w:lvlText w:val="%1."/>
      <w:lvlJc w:val="left"/>
      <w:pPr>
        <w:ind w:left="833" w:hanging="471"/>
        <w:jc w:val="right"/>
      </w:pPr>
      <w:rPr>
        <w:rFonts w:ascii="Calibri" w:eastAsia="Calibri" w:hAnsi="Calibri" w:cs="Calibri" w:hint="default"/>
        <w:spacing w:val="-1"/>
        <w:w w:val="100"/>
        <w:sz w:val="22"/>
        <w:szCs w:val="22"/>
        <w:lang w:val="en-GB" w:eastAsia="en-GB" w:bidi="en-GB"/>
      </w:rPr>
    </w:lvl>
    <w:lvl w:ilvl="1" w:tplc="6B04F7C6">
      <w:start w:val="1"/>
      <w:numFmt w:val="lowerLetter"/>
      <w:lvlText w:val="%2."/>
      <w:lvlJc w:val="left"/>
      <w:pPr>
        <w:ind w:left="1531" w:hanging="711"/>
        <w:jc w:val="left"/>
      </w:pPr>
      <w:rPr>
        <w:rFonts w:ascii="Calibri" w:eastAsia="Calibri" w:hAnsi="Calibri" w:cs="Calibri" w:hint="default"/>
        <w:spacing w:val="-1"/>
        <w:w w:val="100"/>
        <w:sz w:val="22"/>
        <w:szCs w:val="22"/>
        <w:lang w:val="en-GB" w:eastAsia="en-GB" w:bidi="en-GB"/>
      </w:rPr>
    </w:lvl>
    <w:lvl w:ilvl="2" w:tplc="FEF6BD50">
      <w:numFmt w:val="bullet"/>
      <w:lvlText w:val="•"/>
      <w:lvlJc w:val="left"/>
      <w:pPr>
        <w:ind w:left="2462" w:hanging="711"/>
      </w:pPr>
      <w:rPr>
        <w:rFonts w:hint="default"/>
        <w:lang w:val="en-GB" w:eastAsia="en-GB" w:bidi="en-GB"/>
      </w:rPr>
    </w:lvl>
    <w:lvl w:ilvl="3" w:tplc="207A601C">
      <w:numFmt w:val="bullet"/>
      <w:lvlText w:val="•"/>
      <w:lvlJc w:val="left"/>
      <w:pPr>
        <w:ind w:left="3385" w:hanging="711"/>
      </w:pPr>
      <w:rPr>
        <w:rFonts w:hint="default"/>
        <w:lang w:val="en-GB" w:eastAsia="en-GB" w:bidi="en-GB"/>
      </w:rPr>
    </w:lvl>
    <w:lvl w:ilvl="4" w:tplc="71180DC2">
      <w:numFmt w:val="bullet"/>
      <w:lvlText w:val="•"/>
      <w:lvlJc w:val="left"/>
      <w:pPr>
        <w:ind w:left="4308" w:hanging="711"/>
      </w:pPr>
      <w:rPr>
        <w:rFonts w:hint="default"/>
        <w:lang w:val="en-GB" w:eastAsia="en-GB" w:bidi="en-GB"/>
      </w:rPr>
    </w:lvl>
    <w:lvl w:ilvl="5" w:tplc="2156268E">
      <w:numFmt w:val="bullet"/>
      <w:lvlText w:val="•"/>
      <w:lvlJc w:val="left"/>
      <w:pPr>
        <w:ind w:left="5231" w:hanging="711"/>
      </w:pPr>
      <w:rPr>
        <w:rFonts w:hint="default"/>
        <w:lang w:val="en-GB" w:eastAsia="en-GB" w:bidi="en-GB"/>
      </w:rPr>
    </w:lvl>
    <w:lvl w:ilvl="6" w:tplc="9E522DE6">
      <w:numFmt w:val="bullet"/>
      <w:lvlText w:val="•"/>
      <w:lvlJc w:val="left"/>
      <w:pPr>
        <w:ind w:left="6154" w:hanging="711"/>
      </w:pPr>
      <w:rPr>
        <w:rFonts w:hint="default"/>
        <w:lang w:val="en-GB" w:eastAsia="en-GB" w:bidi="en-GB"/>
      </w:rPr>
    </w:lvl>
    <w:lvl w:ilvl="7" w:tplc="4AF88B3E">
      <w:numFmt w:val="bullet"/>
      <w:lvlText w:val="•"/>
      <w:lvlJc w:val="left"/>
      <w:pPr>
        <w:ind w:left="7077" w:hanging="711"/>
      </w:pPr>
      <w:rPr>
        <w:rFonts w:hint="default"/>
        <w:lang w:val="en-GB" w:eastAsia="en-GB" w:bidi="en-GB"/>
      </w:rPr>
    </w:lvl>
    <w:lvl w:ilvl="8" w:tplc="6874C5C4">
      <w:numFmt w:val="bullet"/>
      <w:lvlText w:val="•"/>
      <w:lvlJc w:val="left"/>
      <w:pPr>
        <w:ind w:left="8000" w:hanging="711"/>
      </w:pPr>
      <w:rPr>
        <w:rFonts w:hint="default"/>
        <w:lang w:val="en-GB" w:eastAsia="en-GB" w:bidi="en-GB"/>
      </w:rPr>
    </w:lvl>
  </w:abstractNum>
  <w:num w:numId="1" w16cid:durableId="63598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A0"/>
    <w:rsid w:val="00261697"/>
    <w:rsid w:val="002D45A0"/>
    <w:rsid w:val="0041683C"/>
    <w:rsid w:val="00513B35"/>
    <w:rsid w:val="007B6E8B"/>
    <w:rsid w:val="009C4CCF"/>
    <w:rsid w:val="00A425D3"/>
    <w:rsid w:val="00B474AC"/>
    <w:rsid w:val="00D34107"/>
    <w:rsid w:val="00F160E5"/>
    <w:rsid w:val="055CDE15"/>
    <w:rsid w:val="0642A634"/>
    <w:rsid w:val="42844B97"/>
    <w:rsid w:val="4DF95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A9ACC"/>
  <w15:docId w15:val="{2F4A2E2B-68AA-42C2-AD0B-90954DCD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291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3" w:hanging="71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61697"/>
    <w:rPr>
      <w:rFonts w:ascii="Tahoma" w:hAnsi="Tahoma" w:cs="Tahoma"/>
      <w:sz w:val="16"/>
      <w:szCs w:val="16"/>
    </w:rPr>
  </w:style>
  <w:style w:type="character" w:customStyle="1" w:styleId="BalloonTextChar">
    <w:name w:val="Balloon Text Char"/>
    <w:basedOn w:val="DefaultParagraphFont"/>
    <w:link w:val="BalloonText"/>
    <w:uiPriority w:val="99"/>
    <w:semiHidden/>
    <w:rsid w:val="00261697"/>
    <w:rPr>
      <w:rFonts w:ascii="Tahoma" w:eastAsia="Calibri" w:hAnsi="Tahoma" w:cs="Tahoma"/>
      <w:sz w:val="16"/>
      <w:szCs w:val="16"/>
      <w:lang w:val="en-GB" w:eastAsia="en-GB" w:bidi="en-GB"/>
    </w:rPr>
  </w:style>
  <w:style w:type="paragraph" w:styleId="Header">
    <w:name w:val="header"/>
    <w:basedOn w:val="Normal"/>
    <w:link w:val="HeaderChar"/>
    <w:uiPriority w:val="99"/>
    <w:unhideWhenUsed/>
    <w:rsid w:val="00F160E5"/>
    <w:pPr>
      <w:tabs>
        <w:tab w:val="center" w:pos="4513"/>
        <w:tab w:val="right" w:pos="9026"/>
      </w:tabs>
    </w:pPr>
  </w:style>
  <w:style w:type="character" w:customStyle="1" w:styleId="HeaderChar">
    <w:name w:val="Header Char"/>
    <w:basedOn w:val="DefaultParagraphFont"/>
    <w:link w:val="Header"/>
    <w:uiPriority w:val="99"/>
    <w:rsid w:val="00F160E5"/>
    <w:rPr>
      <w:rFonts w:ascii="Calibri" w:eastAsia="Calibri" w:hAnsi="Calibri" w:cs="Calibri"/>
      <w:lang w:val="en-GB" w:eastAsia="en-GB" w:bidi="en-GB"/>
    </w:rPr>
  </w:style>
  <w:style w:type="paragraph" w:styleId="Footer">
    <w:name w:val="footer"/>
    <w:basedOn w:val="Normal"/>
    <w:link w:val="FooterChar"/>
    <w:uiPriority w:val="99"/>
    <w:unhideWhenUsed/>
    <w:rsid w:val="00F160E5"/>
    <w:pPr>
      <w:tabs>
        <w:tab w:val="center" w:pos="4513"/>
        <w:tab w:val="right" w:pos="9026"/>
      </w:tabs>
    </w:pPr>
  </w:style>
  <w:style w:type="character" w:customStyle="1" w:styleId="FooterChar">
    <w:name w:val="Footer Char"/>
    <w:basedOn w:val="DefaultParagraphFont"/>
    <w:link w:val="Footer"/>
    <w:uiPriority w:val="99"/>
    <w:rsid w:val="00F160E5"/>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Children%20&amp;%20Young%20People\Adult%20Learning\Marketing\Logos\Buckinghamshire%20Council\Templates\Buckinghamshire%20Council%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c0cdaf-0cff-42a6-ba5a-2dbcf2eb2363">
      <Terms xmlns="http://schemas.microsoft.com/office/infopath/2007/PartnerControls"/>
    </lcf76f155ced4ddcb4097134ff3c332f>
    <TaxCatchAll xmlns="9ae3e877-3df2-4825-b33a-d35bc5ed89a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C41B2CD9F3074A9461E9542BA712C2" ma:contentTypeVersion="15" ma:contentTypeDescription="Create a new document." ma:contentTypeScope="" ma:versionID="29e65a19ca78fed3e0365188336d04c6">
  <xsd:schema xmlns:xsd="http://www.w3.org/2001/XMLSchema" xmlns:xs="http://www.w3.org/2001/XMLSchema" xmlns:p="http://schemas.microsoft.com/office/2006/metadata/properties" xmlns:ns2="76c0cdaf-0cff-42a6-ba5a-2dbcf2eb2363" xmlns:ns3="9ae3e877-3df2-4825-b33a-d35bc5ed89a2" targetNamespace="http://schemas.microsoft.com/office/2006/metadata/properties" ma:root="true" ma:fieldsID="844e0e4306268e5a0650c0dd33eb45dd" ns2:_="" ns3:_="">
    <xsd:import namespace="76c0cdaf-0cff-42a6-ba5a-2dbcf2eb2363"/>
    <xsd:import namespace="9ae3e877-3df2-4825-b33a-d35bc5ed8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0cdaf-0cff-42a6-ba5a-2dbcf2eb2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3e877-3df2-4825-b33a-d35bc5ed89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83b7b7-6e16-4aa7-b61d-1f254c74a4c5}" ma:internalName="TaxCatchAll" ma:showField="CatchAllData" ma:web="9ae3e877-3df2-4825-b33a-d35bc5ed89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D5D88-472A-4D59-B4B9-F3D1690DB5C0}">
  <ds:schemaRefs>
    <ds:schemaRef ds:uri="http://schemas.microsoft.com/office/2006/metadata/properties"/>
    <ds:schemaRef ds:uri="http://schemas.microsoft.com/office/infopath/2007/PartnerControls"/>
    <ds:schemaRef ds:uri="76c0cdaf-0cff-42a6-ba5a-2dbcf2eb2363"/>
    <ds:schemaRef ds:uri="9ae3e877-3df2-4825-b33a-d35bc5ed89a2"/>
  </ds:schemaRefs>
</ds:datastoreItem>
</file>

<file path=customXml/itemProps2.xml><?xml version="1.0" encoding="utf-8"?>
<ds:datastoreItem xmlns:ds="http://schemas.openxmlformats.org/officeDocument/2006/customXml" ds:itemID="{4E7EBDF0-2E7D-4B2A-BBF4-2119B58D6A49}">
  <ds:schemaRefs>
    <ds:schemaRef ds:uri="http://schemas.openxmlformats.org/officeDocument/2006/bibliography"/>
  </ds:schemaRefs>
</ds:datastoreItem>
</file>

<file path=customXml/itemProps3.xml><?xml version="1.0" encoding="utf-8"?>
<ds:datastoreItem xmlns:ds="http://schemas.openxmlformats.org/officeDocument/2006/customXml" ds:itemID="{627E2BEF-80EF-47BA-956B-823B39C02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0cdaf-0cff-42a6-ba5a-2dbcf2eb2363"/>
    <ds:schemaRef ds:uri="9ae3e877-3df2-4825-b33a-d35bc5ed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FF447-C828-49B3-9C01-9CF008E3C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Buckinghamshire Council report template</Template>
  <TotalTime>0</TotalTime>
  <Pages>2</Pages>
  <Words>488</Words>
  <Characters>2783</Characters>
  <Application>Microsoft Office Word</Application>
  <DocSecurity>4</DocSecurity>
  <Lines>23</Lines>
  <Paragraphs>6</Paragraphs>
  <ScaleCrop>false</ScaleCrop>
  <Company>Buckinghamshire County Council</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EChild</dc:creator>
  <cp:lastModifiedBy>Jenna Marshment</cp:lastModifiedBy>
  <cp:revision>2</cp:revision>
  <cp:lastPrinted>2019-05-16T09:08:00Z</cp:lastPrinted>
  <dcterms:created xsi:type="dcterms:W3CDTF">2025-08-21T14:56:00Z</dcterms:created>
  <dcterms:modified xsi:type="dcterms:W3CDTF">2025-08-21T14:56:00Z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Microsoft® Word 2016</vt:lpwstr>
  </property>
  <property fmtid="{D5CDD505-2E9C-101B-9397-08002B2CF9AE}" pid="4" name="LastSaved">
    <vt:filetime>2019-05-16T00:00:00Z</vt:filetime>
  </property>
  <property fmtid="{D5CDD505-2E9C-101B-9397-08002B2CF9AE}" pid="5" name="ContentTypeId">
    <vt:lpwstr>0x010100DDC41B2CD9F3074A9461E9542BA712C2</vt:lpwstr>
  </property>
  <property fmtid="{D5CDD505-2E9C-101B-9397-08002B2CF9AE}" pid="6" name="Order">
    <vt:r8>6606400</vt:r8>
  </property>
</Properties>
</file>